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FF789" w14:textId="6BA769C8" w:rsidR="004A1330" w:rsidRPr="00B266B0" w:rsidRDefault="004A1330" w:rsidP="004A133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1150AE">
        <w:rPr>
          <w:bCs/>
          <w:noProof w:val="0"/>
          <w:sz w:val="24"/>
          <w:szCs w:val="24"/>
        </w:rPr>
        <w:t>11190</w:t>
      </w:r>
    </w:p>
    <w:p w14:paraId="69A82D8A" w14:textId="4BA617BC" w:rsidR="004A1330" w:rsidRPr="00465587" w:rsidRDefault="004A1330" w:rsidP="004A1330">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BF0C09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4158A">
        <w:rPr>
          <w:rFonts w:cs="Arial"/>
          <w:b/>
          <w:bCs/>
          <w:sz w:val="24"/>
          <w:lang w:eastAsia="ja-JP"/>
        </w:rPr>
        <w:t>7.21.</w:t>
      </w:r>
      <w:r w:rsidR="004519F2">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AA017F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04451">
        <w:rPr>
          <w:rFonts w:ascii="Arial" w:hAnsi="Arial" w:cs="Arial"/>
          <w:b/>
          <w:bCs/>
          <w:sz w:val="24"/>
        </w:rPr>
        <w:t>Impacts from waveform switching</w:t>
      </w:r>
    </w:p>
    <w:p w14:paraId="25F387E8" w14:textId="0654161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4158A" w:rsidRPr="0084158A">
        <w:rPr>
          <w:rFonts w:ascii="Arial" w:hAnsi="Arial" w:cs="Arial"/>
          <w:b/>
          <w:bCs/>
          <w:sz w:val="24"/>
        </w:rPr>
        <w:t xml:space="preserve">NR_cov_enh2-Core </w:t>
      </w:r>
      <w:r>
        <w:rPr>
          <w:rFonts w:ascii="Arial" w:hAnsi="Arial" w:cs="Arial"/>
          <w:b/>
          <w:bCs/>
          <w:sz w:val="24"/>
        </w:rPr>
        <w:t xml:space="preserve">- Release </w:t>
      </w:r>
      <w:r w:rsidR="0084158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BC636BA" w:rsidR="009339CB" w:rsidRDefault="00773F8C" w:rsidP="009339CB">
      <w:r>
        <w:t>RAN1 sent RAN2 an LS in R2-2309256</w:t>
      </w:r>
      <w:r w:rsidR="0084158A">
        <w:t>:</w:t>
      </w:r>
    </w:p>
    <w:tbl>
      <w:tblPr>
        <w:tblStyle w:val="TableGrid"/>
        <w:tblW w:w="0" w:type="auto"/>
        <w:tblLook w:val="04A0" w:firstRow="1" w:lastRow="0" w:firstColumn="1" w:lastColumn="0" w:noHBand="0" w:noVBand="1"/>
      </w:tblPr>
      <w:tblGrid>
        <w:gridCol w:w="9631"/>
      </w:tblGrid>
      <w:tr w:rsidR="0084158A" w14:paraId="47A1DA44" w14:textId="77777777" w:rsidTr="0084158A">
        <w:tc>
          <w:tcPr>
            <w:tcW w:w="9631" w:type="dxa"/>
          </w:tcPr>
          <w:p w14:paraId="61FC425A" w14:textId="77777777" w:rsidR="00773F8C" w:rsidRDefault="00773F8C" w:rsidP="00773F8C">
            <w:pPr>
              <w:pStyle w:val="Heading1"/>
              <w:rPr>
                <w:lang w:eastAsia="ja-JP"/>
              </w:rPr>
            </w:pPr>
            <w:r>
              <w:t>1</w:t>
            </w:r>
            <w:r>
              <w:tab/>
              <w:t>Overall description</w:t>
            </w:r>
          </w:p>
          <w:p w14:paraId="258A74A7" w14:textId="77777777" w:rsidR="00773F8C" w:rsidRDefault="00773F8C" w:rsidP="00773F8C">
            <w:pPr>
              <w:rPr>
                <w:rFonts w:ascii="Arial" w:hAnsi="Arial" w:cs="Arial"/>
              </w:rPr>
            </w:pPr>
            <w:r>
              <w:rPr>
                <w:rFonts w:ascii="Arial" w:hAnsi="Arial" w:cs="Arial"/>
              </w:rPr>
              <w:t>RAN1 sent LS to RAN2 on power headroom information for assumed PUSCH [R1-2308376, RAN1#114]. RAN1 would like to inform RAN2 that RAN1 has made agreement on details of power headroom information for assumed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773F8C" w14:paraId="619DF45A" w14:textId="77777777" w:rsidTr="00773F8C">
              <w:tc>
                <w:tcPr>
                  <w:tcW w:w="10081" w:type="dxa"/>
                  <w:tcBorders>
                    <w:top w:val="single" w:sz="4" w:space="0" w:color="auto"/>
                    <w:left w:val="single" w:sz="4" w:space="0" w:color="auto"/>
                    <w:bottom w:val="single" w:sz="4" w:space="0" w:color="auto"/>
                    <w:right w:val="single" w:sz="4" w:space="0" w:color="auto"/>
                  </w:tcBorders>
                  <w:hideMark/>
                </w:tcPr>
                <w:p w14:paraId="4BA9EB1B" w14:textId="77777777" w:rsidR="00773F8C" w:rsidRDefault="00773F8C" w:rsidP="00773F8C">
                  <w:pPr>
                    <w:rPr>
                      <w:rFonts w:asciiTheme="minorHAnsi" w:hAnsiTheme="minorHAnsi" w:cstheme="minorBidi"/>
                      <w:highlight w:val="green"/>
                      <w:lang w:val="en-US" w:eastAsia="zh-CN"/>
                    </w:rPr>
                  </w:pPr>
                  <w:r>
                    <w:rPr>
                      <w:highlight w:val="green"/>
                      <w:lang w:val="en-US" w:eastAsia="zh-CN"/>
                    </w:rPr>
                    <w:t>Agreement</w:t>
                  </w:r>
                </w:p>
                <w:p w14:paraId="50AD4CBD" w14:textId="77777777" w:rsidR="00773F8C" w:rsidRDefault="00773F8C" w:rsidP="00773F8C">
                  <w:pPr>
                    <w:rPr>
                      <w:lang w:val="en-US" w:eastAsia="zh-CN"/>
                    </w:rPr>
                  </w:pPr>
                  <w:r>
                    <w:rPr>
                      <w:lang w:val="en-US"/>
                    </w:rPr>
                    <w:t>For reporting of power headroom information for assumed PUSCH</w:t>
                  </w:r>
                  <w:r>
                    <w:rPr>
                      <w:lang w:val="en-US" w:eastAsia="zh-CN"/>
                    </w:rPr>
                    <w:t xml:space="preserve"> using target waveform different from waveform of actual PUSCH, support the following:</w:t>
                  </w:r>
                </w:p>
                <w:p w14:paraId="2365D803" w14:textId="77777777" w:rsidR="00773F8C" w:rsidRDefault="00773F8C" w:rsidP="00773F8C">
                  <w:pPr>
                    <w:numPr>
                      <w:ilvl w:val="0"/>
                      <w:numId w:val="13"/>
                    </w:numPr>
                    <w:spacing w:after="0" w:line="256" w:lineRule="auto"/>
                    <w:ind w:left="720"/>
                    <w:rPr>
                      <w:lang w:val="en-US" w:eastAsia="zh-CN"/>
                    </w:rPr>
                  </w:pPr>
                  <w:r>
                    <w:rPr>
                      <w:lang w:val="en-US" w:eastAsia="zh-CN"/>
                    </w:rPr>
                    <w:t>Power headroom information for assumed PUSCH is based on an actual PUSCH transmission.</w:t>
                  </w:r>
                </w:p>
                <w:p w14:paraId="151CAD68" w14:textId="77777777" w:rsidR="00773F8C" w:rsidRDefault="00773F8C" w:rsidP="00773F8C">
                  <w:pPr>
                    <w:numPr>
                      <w:ilvl w:val="1"/>
                      <w:numId w:val="13"/>
                    </w:numPr>
                    <w:spacing w:after="0" w:line="256" w:lineRule="auto"/>
                    <w:ind w:left="1440"/>
                    <w:rPr>
                      <w:lang w:val="en-US" w:eastAsia="zh-CN"/>
                    </w:rPr>
                  </w:pPr>
                  <w:r>
                    <w:rPr>
                      <w:lang w:val="en-US" w:eastAsia="zh-CN"/>
                    </w:rPr>
                    <w:t>In case of no actual PUSCH transmission on a serving cell, power headroom information for assumed PUSCH is not supported.</w:t>
                  </w:r>
                </w:p>
                <w:p w14:paraId="083518BF" w14:textId="77777777" w:rsidR="00773F8C" w:rsidRDefault="00773F8C" w:rsidP="00773F8C">
                  <w:pPr>
                    <w:numPr>
                      <w:ilvl w:val="1"/>
                      <w:numId w:val="13"/>
                    </w:numPr>
                    <w:spacing w:after="0" w:line="256" w:lineRule="auto"/>
                    <w:ind w:left="1440"/>
                    <w:rPr>
                      <w:lang w:val="en-US" w:eastAsia="zh-CN"/>
                    </w:rPr>
                  </w:pPr>
                  <w:r>
                    <w:rPr>
                      <w:lang w:val="en-US" w:eastAsia="zh-CN"/>
                    </w:rPr>
                    <w:t>DWS field needs to be configured for at least one DCI format for the BWP of the actual PUSCH, otherwise power headroom information for assumed PUSCH is not supported.</w:t>
                  </w:r>
                </w:p>
                <w:p w14:paraId="78030012" w14:textId="77777777" w:rsidR="00773F8C" w:rsidRDefault="00773F8C" w:rsidP="00773F8C">
                  <w:pPr>
                    <w:numPr>
                      <w:ilvl w:val="0"/>
                      <w:numId w:val="13"/>
                    </w:numPr>
                    <w:spacing w:after="0" w:line="256" w:lineRule="auto"/>
                    <w:ind w:left="720"/>
                    <w:rPr>
                      <w:lang w:val="en-US" w:eastAsia="zh-CN"/>
                    </w:rPr>
                  </w:pPr>
                  <w:r>
                    <w:rPr>
                      <w:lang w:val="en-US"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2626A495" w14:textId="77777777" w:rsidR="00773F8C" w:rsidRDefault="00773F8C" w:rsidP="00773F8C">
                  <w:pPr>
                    <w:numPr>
                      <w:ilvl w:val="1"/>
                      <w:numId w:val="13"/>
                    </w:numPr>
                    <w:spacing w:after="0" w:line="256" w:lineRule="auto"/>
                    <w:ind w:left="1440"/>
                    <w:rPr>
                      <w:lang w:val="en-US" w:eastAsia="zh-CN"/>
                    </w:rPr>
                  </w:pPr>
                  <w:r>
                    <w:rPr>
                      <w:lang w:val="en-US" w:eastAsia="zh-CN"/>
                    </w:rPr>
                    <w:t xml:space="preserve">All parameters that are used for the calculation of </w:t>
                  </w:r>
                  <w:proofErr w:type="gramStart"/>
                  <w:r>
                    <w:rPr>
                      <w:lang w:val="en-US" w:eastAsia="zh-CN"/>
                    </w:rPr>
                    <w:t>P</w:t>
                  </w:r>
                  <w:r>
                    <w:rPr>
                      <w:vertAlign w:val="subscript"/>
                      <w:lang w:val="en-US" w:eastAsia="zh-CN"/>
                    </w:rPr>
                    <w:t>CMAX,f</w:t>
                  </w:r>
                  <w:proofErr w:type="gramEnd"/>
                  <w:r>
                    <w:rPr>
                      <w:vertAlign w:val="subscript"/>
                      <w:lang w:val="en-US" w:eastAsia="zh-CN"/>
                    </w:rPr>
                    <w:t>,c</w:t>
                  </w:r>
                  <w:r>
                    <w:rPr>
                      <w:lang w:val="en-US" w:eastAsia="zh-CN"/>
                    </w:rPr>
                    <w:t>(i), except waveform, are the same between assumed PUSCH and actual PUSCH.</w:t>
                  </w:r>
                </w:p>
                <w:p w14:paraId="3384AD4A" w14:textId="77777777" w:rsidR="00773F8C" w:rsidRDefault="00773F8C" w:rsidP="00773F8C">
                  <w:pPr>
                    <w:numPr>
                      <w:ilvl w:val="1"/>
                      <w:numId w:val="13"/>
                    </w:numPr>
                    <w:spacing w:after="0" w:line="256" w:lineRule="auto"/>
                    <w:ind w:left="1440"/>
                    <w:rPr>
                      <w:lang w:val="en-US" w:eastAsia="zh-CN"/>
                    </w:rPr>
                  </w:pPr>
                  <w:r>
                    <w:rPr>
                      <w:lang w:val="en-US" w:eastAsia="zh-CN"/>
                    </w:rPr>
                    <w:t xml:space="preserve">In case assumed PUSCH transmission is not supported for the parameters that are used for the calculation of </w:t>
                  </w:r>
                  <w:proofErr w:type="gramStart"/>
                  <w:r>
                    <w:rPr>
                      <w:lang w:val="en-US" w:eastAsia="zh-CN"/>
                    </w:rPr>
                    <w:t>P</w:t>
                  </w:r>
                  <w:r>
                    <w:rPr>
                      <w:vertAlign w:val="subscript"/>
                      <w:lang w:val="en-US" w:eastAsia="zh-CN"/>
                    </w:rPr>
                    <w:t>CMAX,f</w:t>
                  </w:r>
                  <w:proofErr w:type="gramEnd"/>
                  <w:r>
                    <w:rPr>
                      <w:vertAlign w:val="subscript"/>
                      <w:lang w:val="en-US" w:eastAsia="zh-CN"/>
                    </w:rPr>
                    <w:t>,c</w:t>
                  </w:r>
                  <w:r>
                    <w:rPr>
                      <w:lang w:val="en-US" w:eastAsia="zh-CN"/>
                    </w:rPr>
                    <w:t>(i), power headroom information for assumed PUSCH is not computed or reported.</w:t>
                  </w:r>
                </w:p>
                <w:p w14:paraId="03F8BC77" w14:textId="77777777" w:rsidR="00773F8C" w:rsidRDefault="00773F8C" w:rsidP="00773F8C">
                  <w:pPr>
                    <w:numPr>
                      <w:ilvl w:val="0"/>
                      <w:numId w:val="13"/>
                    </w:numPr>
                    <w:spacing w:after="0" w:line="256" w:lineRule="auto"/>
                    <w:ind w:left="720"/>
                    <w:rPr>
                      <w:lang w:val="en-US" w:eastAsia="zh-CN"/>
                    </w:rPr>
                  </w:pPr>
                  <w:r>
                    <w:rPr>
                      <w:lang w:val="en-US" w:eastAsia="zh-CN"/>
                    </w:rPr>
                    <w:t>Power headroom information for assumed PUSCH contains:</w:t>
                  </w:r>
                </w:p>
                <w:p w14:paraId="7862C6C4" w14:textId="77777777" w:rsidR="00773F8C" w:rsidRDefault="00773F8C" w:rsidP="00773F8C">
                  <w:pPr>
                    <w:numPr>
                      <w:ilvl w:val="1"/>
                      <w:numId w:val="13"/>
                    </w:numPr>
                    <w:spacing w:after="0" w:line="256" w:lineRule="auto"/>
                    <w:ind w:left="1440"/>
                    <w:rPr>
                      <w:lang w:val="en-US" w:eastAsia="zh-CN"/>
                    </w:rPr>
                  </w:pPr>
                  <w:proofErr w:type="gramStart"/>
                  <w:r>
                    <w:rPr>
                      <w:lang w:val="en-US" w:eastAsia="zh-CN"/>
                    </w:rPr>
                    <w:t>P</w:t>
                  </w:r>
                  <w:r>
                    <w:rPr>
                      <w:vertAlign w:val="subscript"/>
                      <w:lang w:val="en-US" w:eastAsia="zh-CN"/>
                    </w:rPr>
                    <w:t>CMAX,f</w:t>
                  </w:r>
                  <w:proofErr w:type="gramEnd"/>
                  <w:r>
                    <w:rPr>
                      <w:vertAlign w:val="subscript"/>
                      <w:lang w:val="en-US" w:eastAsia="zh-CN"/>
                    </w:rPr>
                    <w:t>,c</w:t>
                  </w:r>
                  <w:r>
                    <w:rPr>
                      <w:lang w:val="en-US" w:eastAsia="zh-CN"/>
                    </w:rPr>
                    <w:t>(i) of assumed PUSCH</w:t>
                  </w:r>
                </w:p>
                <w:p w14:paraId="00704D7C" w14:textId="77777777" w:rsidR="00773F8C" w:rsidRDefault="00773F8C" w:rsidP="00773F8C">
                  <w:pPr>
                    <w:numPr>
                      <w:ilvl w:val="2"/>
                      <w:numId w:val="13"/>
                    </w:numPr>
                    <w:spacing w:after="0" w:line="256" w:lineRule="auto"/>
                    <w:ind w:left="2160"/>
                    <w:rPr>
                      <w:lang w:val="en-US" w:eastAsia="zh-CN"/>
                    </w:rPr>
                  </w:pPr>
                  <w:r>
                    <w:rPr>
                      <w:lang w:val="en-US" w:eastAsia="zh-CN"/>
                    </w:rPr>
                    <w:t>Accounting for applicable MPR, A-MPR and P-MPR for the assumed PUSCH.</w:t>
                  </w:r>
                </w:p>
                <w:p w14:paraId="6F594052" w14:textId="77777777" w:rsidR="00773F8C" w:rsidRDefault="00773F8C" w:rsidP="00773F8C">
                  <w:pPr>
                    <w:numPr>
                      <w:ilvl w:val="0"/>
                      <w:numId w:val="13"/>
                    </w:numPr>
                    <w:spacing w:after="0" w:line="256" w:lineRule="auto"/>
                    <w:ind w:left="720"/>
                    <w:rPr>
                      <w:lang w:val="en-US" w:eastAsia="zh-CN"/>
                    </w:rPr>
                  </w:pPr>
                  <w:r>
                    <w:rPr>
                      <w:lang w:val="en-US" w:eastAsia="zh-CN"/>
                    </w:rPr>
                    <w:t>If UE reports power headroom information for assumed PUSCH in a PUSCH transmission, legacy PHR is also reported in the same PUSCH transmission.</w:t>
                  </w:r>
                </w:p>
                <w:p w14:paraId="4E05856C" w14:textId="77777777" w:rsidR="00773F8C" w:rsidRDefault="00773F8C" w:rsidP="00773F8C">
                  <w:pPr>
                    <w:numPr>
                      <w:ilvl w:val="1"/>
                      <w:numId w:val="13"/>
                    </w:numPr>
                    <w:spacing w:after="0" w:line="256" w:lineRule="auto"/>
                    <w:ind w:left="1440"/>
                    <w:rPr>
                      <w:lang w:val="en-US" w:eastAsia="zh-CN"/>
                    </w:rPr>
                  </w:pPr>
                  <w:r>
                    <w:rPr>
                      <w:lang w:val="en-US" w:eastAsia="zh-CN"/>
                    </w:rPr>
                    <w:t>No consensus in RAN1 if the following applies or not: if UE reports legacy PHR in a PUSCH transmission, power headroom information for assumed PUSCH is also reported.</w:t>
                  </w:r>
                </w:p>
                <w:p w14:paraId="44DC5A60" w14:textId="77777777" w:rsidR="00773F8C" w:rsidRDefault="00773F8C" w:rsidP="00773F8C">
                  <w:pPr>
                    <w:numPr>
                      <w:ilvl w:val="0"/>
                      <w:numId w:val="13"/>
                    </w:numPr>
                    <w:spacing w:after="160" w:line="256" w:lineRule="auto"/>
                    <w:ind w:left="720"/>
                    <w:jc w:val="both"/>
                    <w:rPr>
                      <w:lang w:val="en-US"/>
                    </w:rPr>
                  </w:pPr>
                  <w:r>
                    <w:rPr>
                      <w:lang w:val="en-US" w:eastAsia="zh-CN"/>
                    </w:rPr>
                    <w:t>Note: RAN endorsed the following at RAN#100: “</w:t>
                  </w:r>
                  <w:r>
                    <w:rPr>
                      <w:lang w:val="en-US"/>
                    </w:rPr>
                    <w:t>RAN2 will not work on PHR triggering procedure for dynamic waveform switching in Rel-18 UL Coverage enh WI”</w:t>
                  </w:r>
                  <w:r>
                    <w:rPr>
                      <w:lang w:val="en-US" w:eastAsia="zh-CN"/>
                    </w:rPr>
                    <w:t xml:space="preserve"> [RP-231498].</w:t>
                  </w:r>
                </w:p>
                <w:p w14:paraId="5483DC0E" w14:textId="77777777" w:rsidR="00773F8C" w:rsidRDefault="00773F8C" w:rsidP="00773F8C">
                  <w:pPr>
                    <w:ind w:left="1440" w:hanging="1440"/>
                    <w:rPr>
                      <w:rFonts w:eastAsia="DengXian"/>
                      <w:lang w:val="en-US" w:eastAsia="zh-CN"/>
                    </w:rPr>
                  </w:pPr>
                  <w:r>
                    <w:rPr>
                      <w:rFonts w:eastAsia="DengXian"/>
                      <w:lang w:val="en-US" w:eastAsia="zh-CN"/>
                    </w:rPr>
                    <w:t>Send LS to RAN2 to inform above agreement.</w:t>
                  </w:r>
                </w:p>
              </w:tc>
            </w:tr>
          </w:tbl>
          <w:p w14:paraId="10DE9FB7" w14:textId="77777777" w:rsidR="0084158A" w:rsidRDefault="0084158A" w:rsidP="00773F8C"/>
        </w:tc>
      </w:tr>
    </w:tbl>
    <w:p w14:paraId="0886C535" w14:textId="77777777" w:rsidR="00773F8C" w:rsidRDefault="00773F8C" w:rsidP="00773F8C"/>
    <w:p w14:paraId="794F10A1" w14:textId="41A0A2BD" w:rsidR="00773F8C" w:rsidRDefault="00773F8C" w:rsidP="00773F8C">
      <w:r>
        <w:t>This TDoc discusses the RAN2 details about the waveform switching.</w:t>
      </w:r>
    </w:p>
    <w:p w14:paraId="7D484B6E" w14:textId="27F5C893" w:rsidR="009339CB" w:rsidRPr="006E13D1" w:rsidRDefault="009339CB" w:rsidP="009339CB">
      <w:pPr>
        <w:pStyle w:val="Heading1"/>
      </w:pPr>
      <w:r w:rsidRPr="006E13D1">
        <w:lastRenderedPageBreak/>
        <w:t>2</w:t>
      </w:r>
      <w:r w:rsidRPr="006E13D1">
        <w:tab/>
      </w:r>
      <w:r w:rsidR="00747592">
        <w:t>Discussion</w:t>
      </w:r>
    </w:p>
    <w:p w14:paraId="4156E2A5" w14:textId="2752A9CB" w:rsidR="00747592" w:rsidRDefault="00050B03" w:rsidP="00050B03">
      <w:pPr>
        <w:pStyle w:val="Heading2"/>
      </w:pPr>
      <w:r>
        <w:t>2.</w:t>
      </w:r>
      <w:r w:rsidR="00E57F68">
        <w:t>1</w:t>
      </w:r>
      <w:r>
        <w:tab/>
      </w:r>
      <w:r w:rsidR="00773F8C">
        <w:t>PHR format</w:t>
      </w:r>
    </w:p>
    <w:p w14:paraId="3D0F045C" w14:textId="05AA699B" w:rsidR="00836F0F" w:rsidRDefault="00773F8C" w:rsidP="00050B03">
      <w:r>
        <w:t xml:space="preserve">Currently, 3 PHR formats are defined in the MAC specification both for single entry and multiple entry PHR reporting. Out from these, the </w:t>
      </w:r>
      <w:r w:rsidR="00517ECF">
        <w:t xml:space="preserve">general </w:t>
      </w:r>
      <w:r>
        <w:t>Single Entry PHR MAC CE and Multiple Entry PHR MAC CE could be suitable to be used for the waveform switching – or then a new PHR format is defined where the assumed PUSCH can be reported per serving cell.</w:t>
      </w:r>
      <w:r w:rsidR="00FD32AD">
        <w:t xml:space="preserve"> </w:t>
      </w:r>
      <w:r w:rsidR="00517ECF">
        <w:t xml:space="preserve">The </w:t>
      </w:r>
      <w:r w:rsidR="00FD32AD">
        <w:t>existing formats would need to be extended by an additional P</w:t>
      </w:r>
      <w:r w:rsidR="00FD32AD" w:rsidRPr="00FD32AD">
        <w:rPr>
          <w:vertAlign w:val="subscript"/>
        </w:rPr>
        <w:t>CMAX</w:t>
      </w:r>
      <w:r w:rsidR="00FD32AD">
        <w:t xml:space="preserve"> byte for the assumed PUSCH reporting.</w:t>
      </w:r>
      <w:r w:rsidR="00246FED">
        <w:t xml:space="preserve"> In any case, since the Single Entry PHR MAC CE </w:t>
      </w:r>
      <w:r w:rsidR="00517ECF">
        <w:t>is</w:t>
      </w:r>
      <w:r w:rsidR="00246FED">
        <w:t xml:space="preserve"> fixed sized MAC CE</w:t>
      </w:r>
      <w:r w:rsidR="00FD32AD">
        <w:t xml:space="preserve">, it seems simplest to use a different (e)LCID value to indicate that assumed PUSCH is going to be reported in the (Enhanced) Single/Multiple Entry PHR MAC CE based on which the NW knows to decode the new </w:t>
      </w:r>
      <w:r w:rsidR="00ED0093">
        <w:t>P</w:t>
      </w:r>
      <w:r w:rsidR="00ED0093" w:rsidRPr="00FD32AD">
        <w:rPr>
          <w:vertAlign w:val="subscript"/>
        </w:rPr>
        <w:t>CMAX</w:t>
      </w:r>
      <w:r w:rsidR="00ED0093">
        <w:t xml:space="preserve"> </w:t>
      </w:r>
      <w:r w:rsidR="00FD32AD">
        <w:t>byte for each Serving Cell configured with waveform switching and with real PUSCH transmission reported</w:t>
      </w:r>
      <w:r w:rsidR="00ED0093">
        <w:t xml:space="preserve"> in the MAC CE</w:t>
      </w:r>
      <w:r w:rsidR="00FD32AD">
        <w:t xml:space="preserve"> (based on the V bit).</w:t>
      </w:r>
      <w:r w:rsidR="00246FED">
        <w:t xml:space="preserve"> By means of this, the new Single Entry PHR MAC CE can also be kept fixed sized.</w:t>
      </w:r>
    </w:p>
    <w:p w14:paraId="72D42F0C" w14:textId="2DE1AB62" w:rsidR="004A6721" w:rsidRDefault="00400DD3" w:rsidP="00050B03">
      <w:pPr>
        <w:rPr>
          <w:b/>
          <w:bCs/>
        </w:rPr>
      </w:pPr>
      <w:r>
        <w:rPr>
          <w:b/>
          <w:bCs/>
        </w:rPr>
        <w:t xml:space="preserve">Proposal </w:t>
      </w:r>
      <w:r w:rsidR="00E57F68">
        <w:rPr>
          <w:b/>
          <w:bCs/>
        </w:rPr>
        <w:t>1</w:t>
      </w:r>
      <w:r>
        <w:rPr>
          <w:b/>
          <w:bCs/>
        </w:rPr>
        <w:t>:</w:t>
      </w:r>
      <w:r w:rsidR="00ED0093">
        <w:rPr>
          <w:b/>
          <w:bCs/>
        </w:rPr>
        <w:t xml:space="preserve"> (e)LCID is used to indicate the PHR MAC CE includes reporting of assumed PUSCH for Serving Cells configured with waveform switching (and with real PUSCH transmission reported in the MAC CE)</w:t>
      </w:r>
      <w:r w:rsidR="0050050D">
        <w:rPr>
          <w:b/>
          <w:bCs/>
        </w:rPr>
        <w:t>.</w:t>
      </w:r>
    </w:p>
    <w:p w14:paraId="3468255D" w14:textId="629E9FE4" w:rsidR="0079178C" w:rsidRDefault="0079178C" w:rsidP="0079178C">
      <w:pPr>
        <w:pStyle w:val="Heading2"/>
      </w:pPr>
      <w:r>
        <w:t>2.</w:t>
      </w:r>
      <w:r w:rsidR="00E57F68">
        <w:t>2</w:t>
      </w:r>
      <w:r>
        <w:tab/>
      </w:r>
      <w:r w:rsidR="00FC70A8">
        <w:t>Inclusion of assumed PUSCH in a PHR</w:t>
      </w:r>
    </w:p>
    <w:p w14:paraId="510DB219" w14:textId="665032EC" w:rsidR="006664DE" w:rsidRDefault="00FC70A8" w:rsidP="006664DE">
      <w:r>
        <w:t>As agreed by RAN1, when the PH information of the assumed PUSCH is reported by the UE, the UE also includes the PH for the actual PUSCH transmission.</w:t>
      </w:r>
      <w:r w:rsidR="00686AFE">
        <w:t xml:space="preserve"> Several conditions are defined by RAN1 already when this assumed PUSCH can be calculated (e.g., when there is no real PUSCH transmission, DWS not configured for the active BWP of the given Serving Cell, etc.).</w:t>
      </w:r>
      <w:r>
        <w:t xml:space="preserve"> However, given that the PHR is an UL MAC CE, inclusion of the assumed PUSCH information always when the UE is configured with waveform switching makes little sense given the additional overhead it imposes while there may not be any benefit to report both, e.g., when the PH difference between the different waveforms is negligible. Hence, upon PHR transmission, the UE should report the assumed PUSCH along with the PH of the actual PUSCH transmission only when the difference between the power headroom</w:t>
      </w:r>
      <w:r w:rsidR="002D4A2C">
        <w:t>s</w:t>
      </w:r>
      <w:r>
        <w:t xml:space="preserve"> is above a threshold level configured by the network.</w:t>
      </w:r>
    </w:p>
    <w:p w14:paraId="0B938CB0" w14:textId="1577AE5E" w:rsidR="00074234" w:rsidRPr="00A02EF2" w:rsidRDefault="00074234" w:rsidP="006664DE">
      <w:pPr>
        <w:rPr>
          <w:b/>
          <w:bCs/>
        </w:rPr>
      </w:pPr>
      <w:r>
        <w:rPr>
          <w:b/>
          <w:bCs/>
        </w:rPr>
        <w:t xml:space="preserve">Proposal </w:t>
      </w:r>
      <w:r w:rsidR="00E57F68">
        <w:rPr>
          <w:b/>
          <w:bCs/>
        </w:rPr>
        <w:t>2</w:t>
      </w:r>
      <w:r>
        <w:rPr>
          <w:b/>
          <w:bCs/>
        </w:rPr>
        <w:t xml:space="preserve">: </w:t>
      </w:r>
      <w:r w:rsidR="002D4A2C">
        <w:rPr>
          <w:b/>
          <w:bCs/>
        </w:rPr>
        <w:t xml:space="preserve">Upon PHR transmission, the UE reports </w:t>
      </w:r>
      <w:r w:rsidR="00246FED">
        <w:rPr>
          <w:b/>
          <w:bCs/>
        </w:rPr>
        <w:t>PH of the</w:t>
      </w:r>
      <w:r w:rsidR="002D4A2C">
        <w:rPr>
          <w:b/>
          <w:bCs/>
        </w:rPr>
        <w:t xml:space="preserve"> assumed PUSCH along with the PH of the actual PUSCH transmission only when the difference between the power headrooms is above a threshold.</w:t>
      </w:r>
    </w:p>
    <w:p w14:paraId="69B7B8E6" w14:textId="5EBD2011" w:rsidR="009339CB" w:rsidRDefault="005A13AB" w:rsidP="009339CB">
      <w:pPr>
        <w:pStyle w:val="Heading1"/>
      </w:pPr>
      <w:r>
        <w:t>3</w:t>
      </w:r>
      <w:r w:rsidR="009339CB" w:rsidRPr="006E13D1">
        <w:tab/>
      </w:r>
      <w:r w:rsidR="009339CB">
        <w:t>Conclusion</w:t>
      </w:r>
    </w:p>
    <w:p w14:paraId="69EF04E6" w14:textId="77777777" w:rsidR="002D4A2C" w:rsidRDefault="002D4A2C" w:rsidP="002D4A2C">
      <w:pPr>
        <w:rPr>
          <w:b/>
          <w:bCs/>
        </w:rPr>
      </w:pPr>
      <w:r>
        <w:rPr>
          <w:b/>
          <w:bCs/>
        </w:rPr>
        <w:t>Proposal 1: (e)LCID is used to indicate the PHR MAC CE includes reporting of assumed PUSCH for Serving Cells configured with waveform switching (and with real PUSCH transmission reported in the MAC CE).</w:t>
      </w:r>
    </w:p>
    <w:p w14:paraId="119BD55B" w14:textId="09C00416" w:rsidR="002D4A2C" w:rsidRPr="00A02EF2" w:rsidRDefault="002D4A2C" w:rsidP="002D4A2C">
      <w:pPr>
        <w:rPr>
          <w:b/>
          <w:bCs/>
        </w:rPr>
      </w:pPr>
      <w:r>
        <w:rPr>
          <w:b/>
          <w:bCs/>
        </w:rPr>
        <w:t>Proposal 2: Upon PHR transmission, the UE reports</w:t>
      </w:r>
      <w:r w:rsidR="00246FED">
        <w:rPr>
          <w:b/>
          <w:bCs/>
        </w:rPr>
        <w:t xml:space="preserve"> PH of</w:t>
      </w:r>
      <w:r>
        <w:rPr>
          <w:b/>
          <w:bCs/>
        </w:rPr>
        <w:t xml:space="preserve"> the assumed PUSCH along with the PH of the actual PUSCH transmission only when the difference between the power headrooms is above a threshold.</w:t>
      </w:r>
    </w:p>
    <w:p w14:paraId="591C6C5F" w14:textId="31A7C46E" w:rsidR="00B8093F" w:rsidRPr="00B8093F" w:rsidRDefault="00B8093F" w:rsidP="00B8093F"/>
    <w:sectPr w:rsidR="00B8093F" w:rsidRPr="00B809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D7DB8" w14:textId="77777777" w:rsidR="009967B6" w:rsidRDefault="009967B6">
      <w:r>
        <w:separator/>
      </w:r>
    </w:p>
  </w:endnote>
  <w:endnote w:type="continuationSeparator" w:id="0">
    <w:p w14:paraId="7ED8196B" w14:textId="77777777" w:rsidR="009967B6" w:rsidRDefault="009967B6">
      <w:r>
        <w:continuationSeparator/>
      </w:r>
    </w:p>
  </w:endnote>
  <w:endnote w:type="continuationNotice" w:id="1">
    <w:p w14:paraId="0BC23FDC" w14:textId="77777777" w:rsidR="009967B6" w:rsidRDefault="009967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82A76" w14:textId="77777777" w:rsidR="009967B6" w:rsidRDefault="009967B6">
      <w:r>
        <w:separator/>
      </w:r>
    </w:p>
  </w:footnote>
  <w:footnote w:type="continuationSeparator" w:id="0">
    <w:p w14:paraId="40B6539D" w14:textId="77777777" w:rsidR="009967B6" w:rsidRDefault="009967B6">
      <w:r>
        <w:continuationSeparator/>
      </w:r>
    </w:p>
  </w:footnote>
  <w:footnote w:type="continuationNotice" w:id="1">
    <w:p w14:paraId="35ABC732" w14:textId="77777777" w:rsidR="009967B6" w:rsidRDefault="009967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73B49"/>
    <w:multiLevelType w:val="hybridMultilevel"/>
    <w:tmpl w:val="265E686A"/>
    <w:lvl w:ilvl="0" w:tplc="18D860E0">
      <w:start w:val="1"/>
      <w:numFmt w:val="bullet"/>
      <w:lvlText w:val=""/>
      <w:lvlJc w:val="left"/>
      <w:pPr>
        <w:tabs>
          <w:tab w:val="num" w:pos="720"/>
        </w:tabs>
        <w:ind w:left="720" w:hanging="360"/>
      </w:pPr>
      <w:rPr>
        <w:rFonts w:ascii="Symbol" w:hAnsi="Symbol" w:hint="default"/>
      </w:rPr>
    </w:lvl>
    <w:lvl w:ilvl="1" w:tplc="D2F45F38">
      <w:numFmt w:val="bullet"/>
      <w:lvlText w:val="-"/>
      <w:lvlJc w:val="left"/>
      <w:pPr>
        <w:tabs>
          <w:tab w:val="num" w:pos="1440"/>
        </w:tabs>
        <w:ind w:left="1440" w:hanging="360"/>
      </w:pPr>
      <w:rPr>
        <w:rFonts w:ascii="Arial" w:hAnsi="Arial" w:hint="default"/>
      </w:rPr>
    </w:lvl>
    <w:lvl w:ilvl="2" w:tplc="484AC3B2">
      <w:numFmt w:val="bullet"/>
      <w:lvlText w:val=""/>
      <w:lvlJc w:val="left"/>
      <w:pPr>
        <w:tabs>
          <w:tab w:val="num" w:pos="2160"/>
        </w:tabs>
        <w:ind w:left="2160" w:hanging="360"/>
      </w:pPr>
      <w:rPr>
        <w:rFonts w:ascii="Symbol" w:hAnsi="Symbol" w:hint="default"/>
      </w:rPr>
    </w:lvl>
    <w:lvl w:ilvl="3" w:tplc="0ED46166" w:tentative="1">
      <w:start w:val="1"/>
      <w:numFmt w:val="bullet"/>
      <w:lvlText w:val=""/>
      <w:lvlJc w:val="left"/>
      <w:pPr>
        <w:tabs>
          <w:tab w:val="num" w:pos="2880"/>
        </w:tabs>
        <w:ind w:left="2880" w:hanging="360"/>
      </w:pPr>
      <w:rPr>
        <w:rFonts w:ascii="Symbol" w:hAnsi="Symbol" w:hint="default"/>
      </w:rPr>
    </w:lvl>
    <w:lvl w:ilvl="4" w:tplc="E5F2388A" w:tentative="1">
      <w:start w:val="1"/>
      <w:numFmt w:val="bullet"/>
      <w:lvlText w:val=""/>
      <w:lvlJc w:val="left"/>
      <w:pPr>
        <w:tabs>
          <w:tab w:val="num" w:pos="3600"/>
        </w:tabs>
        <w:ind w:left="3600" w:hanging="360"/>
      </w:pPr>
      <w:rPr>
        <w:rFonts w:ascii="Symbol" w:hAnsi="Symbol" w:hint="default"/>
      </w:rPr>
    </w:lvl>
    <w:lvl w:ilvl="5" w:tplc="98B037C4" w:tentative="1">
      <w:start w:val="1"/>
      <w:numFmt w:val="bullet"/>
      <w:lvlText w:val=""/>
      <w:lvlJc w:val="left"/>
      <w:pPr>
        <w:tabs>
          <w:tab w:val="num" w:pos="4320"/>
        </w:tabs>
        <w:ind w:left="4320" w:hanging="360"/>
      </w:pPr>
      <w:rPr>
        <w:rFonts w:ascii="Symbol" w:hAnsi="Symbol" w:hint="default"/>
      </w:rPr>
    </w:lvl>
    <w:lvl w:ilvl="6" w:tplc="BAF26302" w:tentative="1">
      <w:start w:val="1"/>
      <w:numFmt w:val="bullet"/>
      <w:lvlText w:val=""/>
      <w:lvlJc w:val="left"/>
      <w:pPr>
        <w:tabs>
          <w:tab w:val="num" w:pos="5040"/>
        </w:tabs>
        <w:ind w:left="5040" w:hanging="360"/>
      </w:pPr>
      <w:rPr>
        <w:rFonts w:ascii="Symbol" w:hAnsi="Symbol" w:hint="default"/>
      </w:rPr>
    </w:lvl>
    <w:lvl w:ilvl="7" w:tplc="AD7C2044" w:tentative="1">
      <w:start w:val="1"/>
      <w:numFmt w:val="bullet"/>
      <w:lvlText w:val=""/>
      <w:lvlJc w:val="left"/>
      <w:pPr>
        <w:tabs>
          <w:tab w:val="num" w:pos="5760"/>
        </w:tabs>
        <w:ind w:left="5760" w:hanging="360"/>
      </w:pPr>
      <w:rPr>
        <w:rFonts w:ascii="Symbol" w:hAnsi="Symbol" w:hint="default"/>
      </w:rPr>
    </w:lvl>
    <w:lvl w:ilvl="8" w:tplc="43629BA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5F1F91"/>
    <w:multiLevelType w:val="hybridMultilevel"/>
    <w:tmpl w:val="47D8B9FA"/>
    <w:lvl w:ilvl="0" w:tplc="252A1948">
      <w:start w:val="1"/>
      <w:numFmt w:val="bullet"/>
      <w:lvlText w:val=""/>
      <w:lvlJc w:val="left"/>
      <w:pPr>
        <w:tabs>
          <w:tab w:val="num" w:pos="720"/>
        </w:tabs>
        <w:ind w:left="720" w:hanging="360"/>
      </w:pPr>
      <w:rPr>
        <w:rFonts w:ascii="Symbol" w:hAnsi="Symbol" w:hint="default"/>
      </w:rPr>
    </w:lvl>
    <w:lvl w:ilvl="1" w:tplc="56206F48" w:tentative="1">
      <w:start w:val="1"/>
      <w:numFmt w:val="bullet"/>
      <w:lvlText w:val=""/>
      <w:lvlJc w:val="left"/>
      <w:pPr>
        <w:tabs>
          <w:tab w:val="num" w:pos="1440"/>
        </w:tabs>
        <w:ind w:left="1440" w:hanging="360"/>
      </w:pPr>
      <w:rPr>
        <w:rFonts w:ascii="Symbol" w:hAnsi="Symbol" w:hint="default"/>
      </w:rPr>
    </w:lvl>
    <w:lvl w:ilvl="2" w:tplc="A7F25AA8" w:tentative="1">
      <w:start w:val="1"/>
      <w:numFmt w:val="bullet"/>
      <w:lvlText w:val=""/>
      <w:lvlJc w:val="left"/>
      <w:pPr>
        <w:tabs>
          <w:tab w:val="num" w:pos="2160"/>
        </w:tabs>
        <w:ind w:left="2160" w:hanging="360"/>
      </w:pPr>
      <w:rPr>
        <w:rFonts w:ascii="Symbol" w:hAnsi="Symbol" w:hint="default"/>
      </w:rPr>
    </w:lvl>
    <w:lvl w:ilvl="3" w:tplc="57A27C4C" w:tentative="1">
      <w:start w:val="1"/>
      <w:numFmt w:val="bullet"/>
      <w:lvlText w:val=""/>
      <w:lvlJc w:val="left"/>
      <w:pPr>
        <w:tabs>
          <w:tab w:val="num" w:pos="2880"/>
        </w:tabs>
        <w:ind w:left="2880" w:hanging="360"/>
      </w:pPr>
      <w:rPr>
        <w:rFonts w:ascii="Symbol" w:hAnsi="Symbol" w:hint="default"/>
      </w:rPr>
    </w:lvl>
    <w:lvl w:ilvl="4" w:tplc="DA22E9E8" w:tentative="1">
      <w:start w:val="1"/>
      <w:numFmt w:val="bullet"/>
      <w:lvlText w:val=""/>
      <w:lvlJc w:val="left"/>
      <w:pPr>
        <w:tabs>
          <w:tab w:val="num" w:pos="3600"/>
        </w:tabs>
        <w:ind w:left="3600" w:hanging="360"/>
      </w:pPr>
      <w:rPr>
        <w:rFonts w:ascii="Symbol" w:hAnsi="Symbol" w:hint="default"/>
      </w:rPr>
    </w:lvl>
    <w:lvl w:ilvl="5" w:tplc="1736E6A8" w:tentative="1">
      <w:start w:val="1"/>
      <w:numFmt w:val="bullet"/>
      <w:lvlText w:val=""/>
      <w:lvlJc w:val="left"/>
      <w:pPr>
        <w:tabs>
          <w:tab w:val="num" w:pos="4320"/>
        </w:tabs>
        <w:ind w:left="4320" w:hanging="360"/>
      </w:pPr>
      <w:rPr>
        <w:rFonts w:ascii="Symbol" w:hAnsi="Symbol" w:hint="default"/>
      </w:rPr>
    </w:lvl>
    <w:lvl w:ilvl="6" w:tplc="5CD0F3FE" w:tentative="1">
      <w:start w:val="1"/>
      <w:numFmt w:val="bullet"/>
      <w:lvlText w:val=""/>
      <w:lvlJc w:val="left"/>
      <w:pPr>
        <w:tabs>
          <w:tab w:val="num" w:pos="5040"/>
        </w:tabs>
        <w:ind w:left="5040" w:hanging="360"/>
      </w:pPr>
      <w:rPr>
        <w:rFonts w:ascii="Symbol" w:hAnsi="Symbol" w:hint="default"/>
      </w:rPr>
    </w:lvl>
    <w:lvl w:ilvl="7" w:tplc="D8C241C4" w:tentative="1">
      <w:start w:val="1"/>
      <w:numFmt w:val="bullet"/>
      <w:lvlText w:val=""/>
      <w:lvlJc w:val="left"/>
      <w:pPr>
        <w:tabs>
          <w:tab w:val="num" w:pos="5760"/>
        </w:tabs>
        <w:ind w:left="5760" w:hanging="360"/>
      </w:pPr>
      <w:rPr>
        <w:rFonts w:ascii="Symbol" w:hAnsi="Symbol" w:hint="default"/>
      </w:rPr>
    </w:lvl>
    <w:lvl w:ilvl="8" w:tplc="684495A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0F439AD"/>
    <w:multiLevelType w:val="hybridMultilevel"/>
    <w:tmpl w:val="CF1624A6"/>
    <w:lvl w:ilvl="0" w:tplc="53A4130E">
      <w:start w:val="1"/>
      <w:numFmt w:val="bullet"/>
      <w:lvlText w:val=""/>
      <w:lvlJc w:val="left"/>
      <w:pPr>
        <w:tabs>
          <w:tab w:val="num" w:pos="720"/>
        </w:tabs>
        <w:ind w:left="720" w:hanging="360"/>
      </w:pPr>
      <w:rPr>
        <w:rFonts w:ascii="Symbol" w:hAnsi="Symbol" w:hint="default"/>
      </w:rPr>
    </w:lvl>
    <w:lvl w:ilvl="1" w:tplc="7C180D84" w:tentative="1">
      <w:start w:val="1"/>
      <w:numFmt w:val="bullet"/>
      <w:lvlText w:val=""/>
      <w:lvlJc w:val="left"/>
      <w:pPr>
        <w:tabs>
          <w:tab w:val="num" w:pos="1440"/>
        </w:tabs>
        <w:ind w:left="1440" w:hanging="360"/>
      </w:pPr>
      <w:rPr>
        <w:rFonts w:ascii="Symbol" w:hAnsi="Symbol" w:hint="default"/>
      </w:rPr>
    </w:lvl>
    <w:lvl w:ilvl="2" w:tplc="FB6C2196" w:tentative="1">
      <w:start w:val="1"/>
      <w:numFmt w:val="bullet"/>
      <w:lvlText w:val=""/>
      <w:lvlJc w:val="left"/>
      <w:pPr>
        <w:tabs>
          <w:tab w:val="num" w:pos="2160"/>
        </w:tabs>
        <w:ind w:left="2160" w:hanging="360"/>
      </w:pPr>
      <w:rPr>
        <w:rFonts w:ascii="Symbol" w:hAnsi="Symbol" w:hint="default"/>
      </w:rPr>
    </w:lvl>
    <w:lvl w:ilvl="3" w:tplc="DD906318" w:tentative="1">
      <w:start w:val="1"/>
      <w:numFmt w:val="bullet"/>
      <w:lvlText w:val=""/>
      <w:lvlJc w:val="left"/>
      <w:pPr>
        <w:tabs>
          <w:tab w:val="num" w:pos="2880"/>
        </w:tabs>
        <w:ind w:left="2880" w:hanging="360"/>
      </w:pPr>
      <w:rPr>
        <w:rFonts w:ascii="Symbol" w:hAnsi="Symbol" w:hint="default"/>
      </w:rPr>
    </w:lvl>
    <w:lvl w:ilvl="4" w:tplc="2294F586" w:tentative="1">
      <w:start w:val="1"/>
      <w:numFmt w:val="bullet"/>
      <w:lvlText w:val=""/>
      <w:lvlJc w:val="left"/>
      <w:pPr>
        <w:tabs>
          <w:tab w:val="num" w:pos="3600"/>
        </w:tabs>
        <w:ind w:left="3600" w:hanging="360"/>
      </w:pPr>
      <w:rPr>
        <w:rFonts w:ascii="Symbol" w:hAnsi="Symbol" w:hint="default"/>
      </w:rPr>
    </w:lvl>
    <w:lvl w:ilvl="5" w:tplc="A1941F8E" w:tentative="1">
      <w:start w:val="1"/>
      <w:numFmt w:val="bullet"/>
      <w:lvlText w:val=""/>
      <w:lvlJc w:val="left"/>
      <w:pPr>
        <w:tabs>
          <w:tab w:val="num" w:pos="4320"/>
        </w:tabs>
        <w:ind w:left="4320" w:hanging="360"/>
      </w:pPr>
      <w:rPr>
        <w:rFonts w:ascii="Symbol" w:hAnsi="Symbol" w:hint="default"/>
      </w:rPr>
    </w:lvl>
    <w:lvl w:ilvl="6" w:tplc="EC98052C" w:tentative="1">
      <w:start w:val="1"/>
      <w:numFmt w:val="bullet"/>
      <w:lvlText w:val=""/>
      <w:lvlJc w:val="left"/>
      <w:pPr>
        <w:tabs>
          <w:tab w:val="num" w:pos="5040"/>
        </w:tabs>
        <w:ind w:left="5040" w:hanging="360"/>
      </w:pPr>
      <w:rPr>
        <w:rFonts w:ascii="Symbol" w:hAnsi="Symbol" w:hint="default"/>
      </w:rPr>
    </w:lvl>
    <w:lvl w:ilvl="7" w:tplc="AD7E454C" w:tentative="1">
      <w:start w:val="1"/>
      <w:numFmt w:val="bullet"/>
      <w:lvlText w:val=""/>
      <w:lvlJc w:val="left"/>
      <w:pPr>
        <w:tabs>
          <w:tab w:val="num" w:pos="5760"/>
        </w:tabs>
        <w:ind w:left="5760" w:hanging="360"/>
      </w:pPr>
      <w:rPr>
        <w:rFonts w:ascii="Symbol" w:hAnsi="Symbol" w:hint="default"/>
      </w:rPr>
    </w:lvl>
    <w:lvl w:ilvl="8" w:tplc="F5C2BF4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C07816"/>
    <w:multiLevelType w:val="multilevel"/>
    <w:tmpl w:val="37C07816"/>
    <w:lvl w:ilvl="0">
      <w:start w:val="1"/>
      <w:numFmt w:val="bullet"/>
      <w:lvlText w:val="-"/>
      <w:lvlJc w:val="left"/>
      <w:pPr>
        <w:ind w:left="1160" w:hanging="360"/>
      </w:pPr>
      <w:rPr>
        <w:rFonts w:ascii="Times New Roman" w:eastAsia="DengXian"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8" w15:restartNumberingAfterBreak="0">
    <w:nsid w:val="43000E0D"/>
    <w:multiLevelType w:val="hybridMultilevel"/>
    <w:tmpl w:val="742C25D6"/>
    <w:lvl w:ilvl="0" w:tplc="C74C34DA">
      <w:start w:val="1"/>
      <w:numFmt w:val="bullet"/>
      <w:lvlText w:val=""/>
      <w:lvlJc w:val="left"/>
      <w:pPr>
        <w:tabs>
          <w:tab w:val="num" w:pos="720"/>
        </w:tabs>
        <w:ind w:left="720" w:hanging="360"/>
      </w:pPr>
      <w:rPr>
        <w:rFonts w:ascii="Symbol" w:hAnsi="Symbol" w:hint="default"/>
      </w:rPr>
    </w:lvl>
    <w:lvl w:ilvl="1" w:tplc="19321356" w:tentative="1">
      <w:start w:val="1"/>
      <w:numFmt w:val="bullet"/>
      <w:lvlText w:val=""/>
      <w:lvlJc w:val="left"/>
      <w:pPr>
        <w:tabs>
          <w:tab w:val="num" w:pos="1440"/>
        </w:tabs>
        <w:ind w:left="1440" w:hanging="360"/>
      </w:pPr>
      <w:rPr>
        <w:rFonts w:ascii="Symbol" w:hAnsi="Symbol" w:hint="default"/>
      </w:rPr>
    </w:lvl>
    <w:lvl w:ilvl="2" w:tplc="2EFA94F4" w:tentative="1">
      <w:start w:val="1"/>
      <w:numFmt w:val="bullet"/>
      <w:lvlText w:val=""/>
      <w:lvlJc w:val="left"/>
      <w:pPr>
        <w:tabs>
          <w:tab w:val="num" w:pos="2160"/>
        </w:tabs>
        <w:ind w:left="2160" w:hanging="360"/>
      </w:pPr>
      <w:rPr>
        <w:rFonts w:ascii="Symbol" w:hAnsi="Symbol" w:hint="default"/>
      </w:rPr>
    </w:lvl>
    <w:lvl w:ilvl="3" w:tplc="CF7ED45C" w:tentative="1">
      <w:start w:val="1"/>
      <w:numFmt w:val="bullet"/>
      <w:lvlText w:val=""/>
      <w:lvlJc w:val="left"/>
      <w:pPr>
        <w:tabs>
          <w:tab w:val="num" w:pos="2880"/>
        </w:tabs>
        <w:ind w:left="2880" w:hanging="360"/>
      </w:pPr>
      <w:rPr>
        <w:rFonts w:ascii="Symbol" w:hAnsi="Symbol" w:hint="default"/>
      </w:rPr>
    </w:lvl>
    <w:lvl w:ilvl="4" w:tplc="6DDE592C" w:tentative="1">
      <w:start w:val="1"/>
      <w:numFmt w:val="bullet"/>
      <w:lvlText w:val=""/>
      <w:lvlJc w:val="left"/>
      <w:pPr>
        <w:tabs>
          <w:tab w:val="num" w:pos="3600"/>
        </w:tabs>
        <w:ind w:left="3600" w:hanging="360"/>
      </w:pPr>
      <w:rPr>
        <w:rFonts w:ascii="Symbol" w:hAnsi="Symbol" w:hint="default"/>
      </w:rPr>
    </w:lvl>
    <w:lvl w:ilvl="5" w:tplc="7D72F876" w:tentative="1">
      <w:start w:val="1"/>
      <w:numFmt w:val="bullet"/>
      <w:lvlText w:val=""/>
      <w:lvlJc w:val="left"/>
      <w:pPr>
        <w:tabs>
          <w:tab w:val="num" w:pos="4320"/>
        </w:tabs>
        <w:ind w:left="4320" w:hanging="360"/>
      </w:pPr>
      <w:rPr>
        <w:rFonts w:ascii="Symbol" w:hAnsi="Symbol" w:hint="default"/>
      </w:rPr>
    </w:lvl>
    <w:lvl w:ilvl="6" w:tplc="6458E4BA" w:tentative="1">
      <w:start w:val="1"/>
      <w:numFmt w:val="bullet"/>
      <w:lvlText w:val=""/>
      <w:lvlJc w:val="left"/>
      <w:pPr>
        <w:tabs>
          <w:tab w:val="num" w:pos="5040"/>
        </w:tabs>
        <w:ind w:left="5040" w:hanging="360"/>
      </w:pPr>
      <w:rPr>
        <w:rFonts w:ascii="Symbol" w:hAnsi="Symbol" w:hint="default"/>
      </w:rPr>
    </w:lvl>
    <w:lvl w:ilvl="7" w:tplc="428678EA" w:tentative="1">
      <w:start w:val="1"/>
      <w:numFmt w:val="bullet"/>
      <w:lvlText w:val=""/>
      <w:lvlJc w:val="left"/>
      <w:pPr>
        <w:tabs>
          <w:tab w:val="num" w:pos="5760"/>
        </w:tabs>
        <w:ind w:left="5760" w:hanging="360"/>
      </w:pPr>
      <w:rPr>
        <w:rFonts w:ascii="Symbol" w:hAnsi="Symbol" w:hint="default"/>
      </w:rPr>
    </w:lvl>
    <w:lvl w:ilvl="8" w:tplc="447013F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DD80BC8"/>
    <w:multiLevelType w:val="hybridMultilevel"/>
    <w:tmpl w:val="3522C8CA"/>
    <w:lvl w:ilvl="0" w:tplc="A96285DA">
      <w:start w:val="1"/>
      <w:numFmt w:val="bullet"/>
      <w:lvlText w:val="‐"/>
      <w:lvlJc w:val="left"/>
      <w:pPr>
        <w:tabs>
          <w:tab w:val="num" w:pos="720"/>
        </w:tabs>
        <w:ind w:left="720" w:hanging="360"/>
      </w:pPr>
      <w:rPr>
        <w:rFonts w:ascii="SimSun" w:hAnsi="SimSun" w:hint="default"/>
      </w:rPr>
    </w:lvl>
    <w:lvl w:ilvl="1" w:tplc="97D414E4">
      <w:start w:val="1"/>
      <w:numFmt w:val="bullet"/>
      <w:lvlText w:val="‐"/>
      <w:lvlJc w:val="left"/>
      <w:pPr>
        <w:tabs>
          <w:tab w:val="num" w:pos="1440"/>
        </w:tabs>
        <w:ind w:left="1440" w:hanging="360"/>
      </w:pPr>
      <w:rPr>
        <w:rFonts w:ascii="SimSun" w:hAnsi="SimSun" w:hint="default"/>
      </w:rPr>
    </w:lvl>
    <w:lvl w:ilvl="2" w:tplc="E19250E6" w:tentative="1">
      <w:start w:val="1"/>
      <w:numFmt w:val="bullet"/>
      <w:lvlText w:val="‐"/>
      <w:lvlJc w:val="left"/>
      <w:pPr>
        <w:tabs>
          <w:tab w:val="num" w:pos="2160"/>
        </w:tabs>
        <w:ind w:left="2160" w:hanging="360"/>
      </w:pPr>
      <w:rPr>
        <w:rFonts w:ascii="SimSun" w:hAnsi="SimSun" w:hint="default"/>
      </w:rPr>
    </w:lvl>
    <w:lvl w:ilvl="3" w:tplc="0ACE0076" w:tentative="1">
      <w:start w:val="1"/>
      <w:numFmt w:val="bullet"/>
      <w:lvlText w:val="‐"/>
      <w:lvlJc w:val="left"/>
      <w:pPr>
        <w:tabs>
          <w:tab w:val="num" w:pos="2880"/>
        </w:tabs>
        <w:ind w:left="2880" w:hanging="360"/>
      </w:pPr>
      <w:rPr>
        <w:rFonts w:ascii="SimSun" w:hAnsi="SimSun" w:hint="default"/>
      </w:rPr>
    </w:lvl>
    <w:lvl w:ilvl="4" w:tplc="1EE6C120" w:tentative="1">
      <w:start w:val="1"/>
      <w:numFmt w:val="bullet"/>
      <w:lvlText w:val="‐"/>
      <w:lvlJc w:val="left"/>
      <w:pPr>
        <w:tabs>
          <w:tab w:val="num" w:pos="3600"/>
        </w:tabs>
        <w:ind w:left="3600" w:hanging="360"/>
      </w:pPr>
      <w:rPr>
        <w:rFonts w:ascii="SimSun" w:hAnsi="SimSun" w:hint="default"/>
      </w:rPr>
    </w:lvl>
    <w:lvl w:ilvl="5" w:tplc="71F07DBE" w:tentative="1">
      <w:start w:val="1"/>
      <w:numFmt w:val="bullet"/>
      <w:lvlText w:val="‐"/>
      <w:lvlJc w:val="left"/>
      <w:pPr>
        <w:tabs>
          <w:tab w:val="num" w:pos="4320"/>
        </w:tabs>
        <w:ind w:left="4320" w:hanging="360"/>
      </w:pPr>
      <w:rPr>
        <w:rFonts w:ascii="SimSun" w:hAnsi="SimSun" w:hint="default"/>
      </w:rPr>
    </w:lvl>
    <w:lvl w:ilvl="6" w:tplc="7BE6B2F0" w:tentative="1">
      <w:start w:val="1"/>
      <w:numFmt w:val="bullet"/>
      <w:lvlText w:val="‐"/>
      <w:lvlJc w:val="left"/>
      <w:pPr>
        <w:tabs>
          <w:tab w:val="num" w:pos="5040"/>
        </w:tabs>
        <w:ind w:left="5040" w:hanging="360"/>
      </w:pPr>
      <w:rPr>
        <w:rFonts w:ascii="SimSun" w:hAnsi="SimSun" w:hint="default"/>
      </w:rPr>
    </w:lvl>
    <w:lvl w:ilvl="7" w:tplc="52DAE04C" w:tentative="1">
      <w:start w:val="1"/>
      <w:numFmt w:val="bullet"/>
      <w:lvlText w:val="‐"/>
      <w:lvlJc w:val="left"/>
      <w:pPr>
        <w:tabs>
          <w:tab w:val="num" w:pos="5760"/>
        </w:tabs>
        <w:ind w:left="5760" w:hanging="360"/>
      </w:pPr>
      <w:rPr>
        <w:rFonts w:ascii="SimSun" w:hAnsi="SimSun" w:hint="default"/>
      </w:rPr>
    </w:lvl>
    <w:lvl w:ilvl="8" w:tplc="693A2ED8" w:tentative="1">
      <w:start w:val="1"/>
      <w:numFmt w:val="bullet"/>
      <w:lvlText w:val="‐"/>
      <w:lvlJc w:val="left"/>
      <w:pPr>
        <w:tabs>
          <w:tab w:val="num" w:pos="6480"/>
        </w:tabs>
        <w:ind w:left="6480" w:hanging="360"/>
      </w:pPr>
      <w:rPr>
        <w:rFonts w:ascii="SimSun" w:hAnsi="SimSun"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6"/>
  </w:num>
  <w:num w:numId="5" w16cid:durableId="630793192">
    <w:abstractNumId w:val="5"/>
  </w:num>
  <w:num w:numId="6" w16cid:durableId="1154301696">
    <w:abstractNumId w:val="9"/>
  </w:num>
  <w:num w:numId="7" w16cid:durableId="1489399165">
    <w:abstractNumId w:val="10"/>
  </w:num>
  <w:num w:numId="8" w16cid:durableId="1880164418">
    <w:abstractNumId w:val="8"/>
  </w:num>
  <w:num w:numId="9" w16cid:durableId="2024937786">
    <w:abstractNumId w:val="11"/>
  </w:num>
  <w:num w:numId="10" w16cid:durableId="1103501492">
    <w:abstractNumId w:val="3"/>
  </w:num>
  <w:num w:numId="11" w16cid:durableId="1713574124">
    <w:abstractNumId w:val="4"/>
  </w:num>
  <w:num w:numId="12" w16cid:durableId="1260407028">
    <w:abstractNumId w:val="2"/>
  </w:num>
  <w:num w:numId="13" w16cid:durableId="19611799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E51"/>
    <w:rsid w:val="00016557"/>
    <w:rsid w:val="00023C40"/>
    <w:rsid w:val="00033397"/>
    <w:rsid w:val="00040095"/>
    <w:rsid w:val="00044C21"/>
    <w:rsid w:val="00050B03"/>
    <w:rsid w:val="00065268"/>
    <w:rsid w:val="00073C9C"/>
    <w:rsid w:val="00074234"/>
    <w:rsid w:val="00076412"/>
    <w:rsid w:val="00080512"/>
    <w:rsid w:val="00083B83"/>
    <w:rsid w:val="00090468"/>
    <w:rsid w:val="00094568"/>
    <w:rsid w:val="00096E90"/>
    <w:rsid w:val="000B7BCF"/>
    <w:rsid w:val="000C522B"/>
    <w:rsid w:val="000D58AB"/>
    <w:rsid w:val="001051A0"/>
    <w:rsid w:val="00112F1A"/>
    <w:rsid w:val="001150AE"/>
    <w:rsid w:val="00145075"/>
    <w:rsid w:val="001741A0"/>
    <w:rsid w:val="00175FA0"/>
    <w:rsid w:val="00194CD0"/>
    <w:rsid w:val="00196472"/>
    <w:rsid w:val="001A205A"/>
    <w:rsid w:val="001B49C9"/>
    <w:rsid w:val="001C23F4"/>
    <w:rsid w:val="001C4F79"/>
    <w:rsid w:val="001C706D"/>
    <w:rsid w:val="001F168B"/>
    <w:rsid w:val="001F7831"/>
    <w:rsid w:val="00204045"/>
    <w:rsid w:val="00204F8D"/>
    <w:rsid w:val="0020712B"/>
    <w:rsid w:val="0022606D"/>
    <w:rsid w:val="00231728"/>
    <w:rsid w:val="00244A05"/>
    <w:rsid w:val="00246FED"/>
    <w:rsid w:val="00250404"/>
    <w:rsid w:val="00256B74"/>
    <w:rsid w:val="002610D8"/>
    <w:rsid w:val="002747EC"/>
    <w:rsid w:val="002855BF"/>
    <w:rsid w:val="002B2988"/>
    <w:rsid w:val="002D4A2C"/>
    <w:rsid w:val="002F0D22"/>
    <w:rsid w:val="00311B17"/>
    <w:rsid w:val="003172DC"/>
    <w:rsid w:val="00325AE3"/>
    <w:rsid w:val="00326069"/>
    <w:rsid w:val="00334FF1"/>
    <w:rsid w:val="00337186"/>
    <w:rsid w:val="00345C04"/>
    <w:rsid w:val="0035462D"/>
    <w:rsid w:val="0036459E"/>
    <w:rsid w:val="00364B41"/>
    <w:rsid w:val="00383096"/>
    <w:rsid w:val="0039346C"/>
    <w:rsid w:val="003A41EF"/>
    <w:rsid w:val="003B40AD"/>
    <w:rsid w:val="003B5DDC"/>
    <w:rsid w:val="003C4E37"/>
    <w:rsid w:val="003D0FD0"/>
    <w:rsid w:val="003E16BE"/>
    <w:rsid w:val="003E1FA6"/>
    <w:rsid w:val="003F4E28"/>
    <w:rsid w:val="004006E8"/>
    <w:rsid w:val="00400DD3"/>
    <w:rsid w:val="00401855"/>
    <w:rsid w:val="004050FB"/>
    <w:rsid w:val="00446C3A"/>
    <w:rsid w:val="004519F2"/>
    <w:rsid w:val="0046385A"/>
    <w:rsid w:val="00465587"/>
    <w:rsid w:val="004713C6"/>
    <w:rsid w:val="00477455"/>
    <w:rsid w:val="004831D1"/>
    <w:rsid w:val="004A1330"/>
    <w:rsid w:val="004A1F7B"/>
    <w:rsid w:val="004A6721"/>
    <w:rsid w:val="004C44D2"/>
    <w:rsid w:val="004D3578"/>
    <w:rsid w:val="004D380D"/>
    <w:rsid w:val="004E213A"/>
    <w:rsid w:val="004F4540"/>
    <w:rsid w:val="004F73A7"/>
    <w:rsid w:val="0050050D"/>
    <w:rsid w:val="00503171"/>
    <w:rsid w:val="00506C28"/>
    <w:rsid w:val="00517ECF"/>
    <w:rsid w:val="00534DA0"/>
    <w:rsid w:val="00543E6C"/>
    <w:rsid w:val="00565087"/>
    <w:rsid w:val="0056573F"/>
    <w:rsid w:val="00571279"/>
    <w:rsid w:val="005A13AB"/>
    <w:rsid w:val="005A49C6"/>
    <w:rsid w:val="005A731F"/>
    <w:rsid w:val="005C766E"/>
    <w:rsid w:val="005C7CD5"/>
    <w:rsid w:val="005D6A93"/>
    <w:rsid w:val="00611566"/>
    <w:rsid w:val="00613625"/>
    <w:rsid w:val="00646D99"/>
    <w:rsid w:val="00656910"/>
    <w:rsid w:val="006574C0"/>
    <w:rsid w:val="006664DE"/>
    <w:rsid w:val="00686AFE"/>
    <w:rsid w:val="00696821"/>
    <w:rsid w:val="006C66D8"/>
    <w:rsid w:val="006D1E24"/>
    <w:rsid w:val="006D35DE"/>
    <w:rsid w:val="006E1057"/>
    <w:rsid w:val="006E1417"/>
    <w:rsid w:val="006F15EE"/>
    <w:rsid w:val="006F6A2C"/>
    <w:rsid w:val="007069DC"/>
    <w:rsid w:val="00710201"/>
    <w:rsid w:val="0072073A"/>
    <w:rsid w:val="007342B5"/>
    <w:rsid w:val="00734A5B"/>
    <w:rsid w:val="00744E76"/>
    <w:rsid w:val="00747592"/>
    <w:rsid w:val="00757D40"/>
    <w:rsid w:val="007662B5"/>
    <w:rsid w:val="00773F8C"/>
    <w:rsid w:val="00781F0F"/>
    <w:rsid w:val="0078727C"/>
    <w:rsid w:val="0079049D"/>
    <w:rsid w:val="0079178C"/>
    <w:rsid w:val="00793DC5"/>
    <w:rsid w:val="00796823"/>
    <w:rsid w:val="007A2E55"/>
    <w:rsid w:val="007B18D8"/>
    <w:rsid w:val="007C095F"/>
    <w:rsid w:val="007C2DD0"/>
    <w:rsid w:val="007F2E08"/>
    <w:rsid w:val="008024FA"/>
    <w:rsid w:val="008028A4"/>
    <w:rsid w:val="00813245"/>
    <w:rsid w:val="00836F0F"/>
    <w:rsid w:val="00840DE0"/>
    <w:rsid w:val="0084158A"/>
    <w:rsid w:val="00847CD0"/>
    <w:rsid w:val="008607A8"/>
    <w:rsid w:val="0086354A"/>
    <w:rsid w:val="0086697F"/>
    <w:rsid w:val="008768CA"/>
    <w:rsid w:val="00877EF9"/>
    <w:rsid w:val="00880559"/>
    <w:rsid w:val="008B5306"/>
    <w:rsid w:val="008B54E8"/>
    <w:rsid w:val="008C2E2A"/>
    <w:rsid w:val="008C3057"/>
    <w:rsid w:val="008D2E4D"/>
    <w:rsid w:val="008F396F"/>
    <w:rsid w:val="008F3DCD"/>
    <w:rsid w:val="008F4FAF"/>
    <w:rsid w:val="0090271F"/>
    <w:rsid w:val="00902DB9"/>
    <w:rsid w:val="0090466A"/>
    <w:rsid w:val="00905E5A"/>
    <w:rsid w:val="00923655"/>
    <w:rsid w:val="0092796D"/>
    <w:rsid w:val="009339CB"/>
    <w:rsid w:val="00936071"/>
    <w:rsid w:val="009376CD"/>
    <w:rsid w:val="00940212"/>
    <w:rsid w:val="00942EC2"/>
    <w:rsid w:val="00961B32"/>
    <w:rsid w:val="00962509"/>
    <w:rsid w:val="00970DB3"/>
    <w:rsid w:val="00974BB0"/>
    <w:rsid w:val="00975BCD"/>
    <w:rsid w:val="0097602A"/>
    <w:rsid w:val="009818A2"/>
    <w:rsid w:val="009928A9"/>
    <w:rsid w:val="009967B6"/>
    <w:rsid w:val="009A0AF3"/>
    <w:rsid w:val="009B07CD"/>
    <w:rsid w:val="009C19E9"/>
    <w:rsid w:val="009D74A6"/>
    <w:rsid w:val="009E0E87"/>
    <w:rsid w:val="00A02EF2"/>
    <w:rsid w:val="00A10F02"/>
    <w:rsid w:val="00A17176"/>
    <w:rsid w:val="00A204CA"/>
    <w:rsid w:val="00A209D6"/>
    <w:rsid w:val="00A22738"/>
    <w:rsid w:val="00A36F5F"/>
    <w:rsid w:val="00A430EC"/>
    <w:rsid w:val="00A53724"/>
    <w:rsid w:val="00A54B2B"/>
    <w:rsid w:val="00A703B6"/>
    <w:rsid w:val="00A82346"/>
    <w:rsid w:val="00A9671C"/>
    <w:rsid w:val="00AA1553"/>
    <w:rsid w:val="00B0454A"/>
    <w:rsid w:val="00B05380"/>
    <w:rsid w:val="00B05962"/>
    <w:rsid w:val="00B15449"/>
    <w:rsid w:val="00B16C2F"/>
    <w:rsid w:val="00B27303"/>
    <w:rsid w:val="00B47FD1"/>
    <w:rsid w:val="00B516BB"/>
    <w:rsid w:val="00B71C53"/>
    <w:rsid w:val="00B7538C"/>
    <w:rsid w:val="00B8093F"/>
    <w:rsid w:val="00B84DB2"/>
    <w:rsid w:val="00B95604"/>
    <w:rsid w:val="00BC3555"/>
    <w:rsid w:val="00BC56E0"/>
    <w:rsid w:val="00C12B51"/>
    <w:rsid w:val="00C24650"/>
    <w:rsid w:val="00C25465"/>
    <w:rsid w:val="00C33079"/>
    <w:rsid w:val="00C55A12"/>
    <w:rsid w:val="00C6553E"/>
    <w:rsid w:val="00C65853"/>
    <w:rsid w:val="00C83A13"/>
    <w:rsid w:val="00C86F10"/>
    <w:rsid w:val="00C9068C"/>
    <w:rsid w:val="00C92967"/>
    <w:rsid w:val="00CA3D0C"/>
    <w:rsid w:val="00CA654B"/>
    <w:rsid w:val="00CB72B8"/>
    <w:rsid w:val="00CD0BA8"/>
    <w:rsid w:val="00CD4C7B"/>
    <w:rsid w:val="00CD58FE"/>
    <w:rsid w:val="00CE4777"/>
    <w:rsid w:val="00D33BE3"/>
    <w:rsid w:val="00D3792D"/>
    <w:rsid w:val="00D47A09"/>
    <w:rsid w:val="00D54820"/>
    <w:rsid w:val="00D55E47"/>
    <w:rsid w:val="00D62E19"/>
    <w:rsid w:val="00D67CD1"/>
    <w:rsid w:val="00D738D6"/>
    <w:rsid w:val="00D80795"/>
    <w:rsid w:val="00D854BE"/>
    <w:rsid w:val="00D87E00"/>
    <w:rsid w:val="00D9134D"/>
    <w:rsid w:val="00D96D11"/>
    <w:rsid w:val="00D97CCF"/>
    <w:rsid w:val="00DA7A03"/>
    <w:rsid w:val="00DB0885"/>
    <w:rsid w:val="00DB0DB8"/>
    <w:rsid w:val="00DB1818"/>
    <w:rsid w:val="00DC309B"/>
    <w:rsid w:val="00DC4DA2"/>
    <w:rsid w:val="00DC5261"/>
    <w:rsid w:val="00DE25D2"/>
    <w:rsid w:val="00DF7C20"/>
    <w:rsid w:val="00E038FB"/>
    <w:rsid w:val="00E04451"/>
    <w:rsid w:val="00E12A55"/>
    <w:rsid w:val="00E34B53"/>
    <w:rsid w:val="00E46C08"/>
    <w:rsid w:val="00E471CF"/>
    <w:rsid w:val="00E57F68"/>
    <w:rsid w:val="00E62835"/>
    <w:rsid w:val="00E6480E"/>
    <w:rsid w:val="00E76E25"/>
    <w:rsid w:val="00E77645"/>
    <w:rsid w:val="00E80214"/>
    <w:rsid w:val="00E83697"/>
    <w:rsid w:val="00E859B6"/>
    <w:rsid w:val="00E9649B"/>
    <w:rsid w:val="00EA66C9"/>
    <w:rsid w:val="00EB386C"/>
    <w:rsid w:val="00EB5D32"/>
    <w:rsid w:val="00EC4A25"/>
    <w:rsid w:val="00ED0093"/>
    <w:rsid w:val="00EE5A6C"/>
    <w:rsid w:val="00EF612C"/>
    <w:rsid w:val="00F025A2"/>
    <w:rsid w:val="00F036E9"/>
    <w:rsid w:val="00F07388"/>
    <w:rsid w:val="00F2026E"/>
    <w:rsid w:val="00F2210A"/>
    <w:rsid w:val="00F31372"/>
    <w:rsid w:val="00F37743"/>
    <w:rsid w:val="00F37CF2"/>
    <w:rsid w:val="00F54A3D"/>
    <w:rsid w:val="00F54CB0"/>
    <w:rsid w:val="00F579CD"/>
    <w:rsid w:val="00F653B8"/>
    <w:rsid w:val="00F71B89"/>
    <w:rsid w:val="00F7353C"/>
    <w:rsid w:val="00F76F8F"/>
    <w:rsid w:val="00F87257"/>
    <w:rsid w:val="00F941DF"/>
    <w:rsid w:val="00FA1266"/>
    <w:rsid w:val="00FA5123"/>
    <w:rsid w:val="00FB36FA"/>
    <w:rsid w:val="00FC1192"/>
    <w:rsid w:val="00FC42EB"/>
    <w:rsid w:val="00FC70A8"/>
    <w:rsid w:val="00FD32AD"/>
    <w:rsid w:val="00FE106D"/>
    <w:rsid w:val="00FE251B"/>
    <w:rsid w:val="00FF1FCD"/>
    <w:rsid w:val="7A57D5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41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B71C53"/>
    <w:rPr>
      <w:lang w:eastAsia="en-US"/>
    </w:rPr>
  </w:style>
  <w:style w:type="paragraph" w:styleId="CommentSubject">
    <w:name w:val="annotation subject"/>
    <w:basedOn w:val="CommentText"/>
    <w:next w:val="CommentText"/>
    <w:link w:val="CommentSubjectChar"/>
    <w:rsid w:val="00FC42EB"/>
    <w:rPr>
      <w:b/>
      <w:bCs/>
    </w:rPr>
  </w:style>
  <w:style w:type="character" w:customStyle="1" w:styleId="CommentSubjectChar">
    <w:name w:val="Comment Subject Char"/>
    <w:basedOn w:val="CommentTextChar"/>
    <w:link w:val="CommentSubject"/>
    <w:rsid w:val="00FC42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9002">
      <w:bodyDiv w:val="1"/>
      <w:marLeft w:val="0"/>
      <w:marRight w:val="0"/>
      <w:marTop w:val="0"/>
      <w:marBottom w:val="0"/>
      <w:divBdr>
        <w:top w:val="none" w:sz="0" w:space="0" w:color="auto"/>
        <w:left w:val="none" w:sz="0" w:space="0" w:color="auto"/>
        <w:bottom w:val="none" w:sz="0" w:space="0" w:color="auto"/>
        <w:right w:val="none" w:sz="0" w:space="0" w:color="auto"/>
      </w:divBdr>
    </w:div>
    <w:div w:id="158038320">
      <w:bodyDiv w:val="1"/>
      <w:marLeft w:val="0"/>
      <w:marRight w:val="0"/>
      <w:marTop w:val="0"/>
      <w:marBottom w:val="0"/>
      <w:divBdr>
        <w:top w:val="none" w:sz="0" w:space="0" w:color="auto"/>
        <w:left w:val="none" w:sz="0" w:space="0" w:color="auto"/>
        <w:bottom w:val="none" w:sz="0" w:space="0" w:color="auto"/>
        <w:right w:val="none" w:sz="0" w:space="0" w:color="auto"/>
      </w:divBdr>
    </w:div>
    <w:div w:id="213935624">
      <w:bodyDiv w:val="1"/>
      <w:marLeft w:val="0"/>
      <w:marRight w:val="0"/>
      <w:marTop w:val="0"/>
      <w:marBottom w:val="0"/>
      <w:divBdr>
        <w:top w:val="none" w:sz="0" w:space="0" w:color="auto"/>
        <w:left w:val="none" w:sz="0" w:space="0" w:color="auto"/>
        <w:bottom w:val="none" w:sz="0" w:space="0" w:color="auto"/>
        <w:right w:val="none" w:sz="0" w:space="0" w:color="auto"/>
      </w:divBdr>
    </w:div>
    <w:div w:id="410589940">
      <w:bodyDiv w:val="1"/>
      <w:marLeft w:val="0"/>
      <w:marRight w:val="0"/>
      <w:marTop w:val="0"/>
      <w:marBottom w:val="0"/>
      <w:divBdr>
        <w:top w:val="none" w:sz="0" w:space="0" w:color="auto"/>
        <w:left w:val="none" w:sz="0" w:space="0" w:color="auto"/>
        <w:bottom w:val="none" w:sz="0" w:space="0" w:color="auto"/>
        <w:right w:val="none" w:sz="0" w:space="0" w:color="auto"/>
      </w:divBdr>
    </w:div>
    <w:div w:id="663096071">
      <w:bodyDiv w:val="1"/>
      <w:marLeft w:val="0"/>
      <w:marRight w:val="0"/>
      <w:marTop w:val="0"/>
      <w:marBottom w:val="0"/>
      <w:divBdr>
        <w:top w:val="none" w:sz="0" w:space="0" w:color="auto"/>
        <w:left w:val="none" w:sz="0" w:space="0" w:color="auto"/>
        <w:bottom w:val="none" w:sz="0" w:space="0" w:color="auto"/>
        <w:right w:val="none" w:sz="0" w:space="0" w:color="auto"/>
      </w:divBdr>
      <w:divsChild>
        <w:div w:id="1711757317">
          <w:marLeft w:val="547"/>
          <w:marRight w:val="0"/>
          <w:marTop w:val="0"/>
          <w:marBottom w:val="120"/>
          <w:divBdr>
            <w:top w:val="none" w:sz="0" w:space="0" w:color="auto"/>
            <w:left w:val="none" w:sz="0" w:space="0" w:color="auto"/>
            <w:bottom w:val="none" w:sz="0" w:space="0" w:color="auto"/>
            <w:right w:val="none" w:sz="0" w:space="0" w:color="auto"/>
          </w:divBdr>
        </w:div>
        <w:div w:id="1983843944">
          <w:marLeft w:val="1166"/>
          <w:marRight w:val="0"/>
          <w:marTop w:val="0"/>
          <w:marBottom w:val="120"/>
          <w:divBdr>
            <w:top w:val="none" w:sz="0" w:space="0" w:color="auto"/>
            <w:left w:val="none" w:sz="0" w:space="0" w:color="auto"/>
            <w:bottom w:val="none" w:sz="0" w:space="0" w:color="auto"/>
            <w:right w:val="none" w:sz="0" w:space="0" w:color="auto"/>
          </w:divBdr>
        </w:div>
        <w:div w:id="470639243">
          <w:marLeft w:val="1800"/>
          <w:marRight w:val="0"/>
          <w:marTop w:val="0"/>
          <w:marBottom w:val="120"/>
          <w:divBdr>
            <w:top w:val="none" w:sz="0" w:space="0" w:color="auto"/>
            <w:left w:val="none" w:sz="0" w:space="0" w:color="auto"/>
            <w:bottom w:val="none" w:sz="0" w:space="0" w:color="auto"/>
            <w:right w:val="none" w:sz="0" w:space="0" w:color="auto"/>
          </w:divBdr>
        </w:div>
        <w:div w:id="1745645719">
          <w:marLeft w:val="1800"/>
          <w:marRight w:val="0"/>
          <w:marTop w:val="0"/>
          <w:marBottom w:val="120"/>
          <w:divBdr>
            <w:top w:val="none" w:sz="0" w:space="0" w:color="auto"/>
            <w:left w:val="none" w:sz="0" w:space="0" w:color="auto"/>
            <w:bottom w:val="none" w:sz="0" w:space="0" w:color="auto"/>
            <w:right w:val="none" w:sz="0" w:space="0" w:color="auto"/>
          </w:divBdr>
        </w:div>
        <w:div w:id="615601412">
          <w:marLeft w:val="1800"/>
          <w:marRight w:val="0"/>
          <w:marTop w:val="0"/>
          <w:marBottom w:val="120"/>
          <w:divBdr>
            <w:top w:val="none" w:sz="0" w:space="0" w:color="auto"/>
            <w:left w:val="none" w:sz="0" w:space="0" w:color="auto"/>
            <w:bottom w:val="none" w:sz="0" w:space="0" w:color="auto"/>
            <w:right w:val="none" w:sz="0" w:space="0" w:color="auto"/>
          </w:divBdr>
        </w:div>
      </w:divsChild>
    </w:div>
    <w:div w:id="8807482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1312381">
      <w:bodyDiv w:val="1"/>
      <w:marLeft w:val="0"/>
      <w:marRight w:val="0"/>
      <w:marTop w:val="0"/>
      <w:marBottom w:val="0"/>
      <w:divBdr>
        <w:top w:val="none" w:sz="0" w:space="0" w:color="auto"/>
        <w:left w:val="none" w:sz="0" w:space="0" w:color="auto"/>
        <w:bottom w:val="none" w:sz="0" w:space="0" w:color="auto"/>
        <w:right w:val="none" w:sz="0" w:space="0" w:color="auto"/>
      </w:divBdr>
      <w:divsChild>
        <w:div w:id="1489246395">
          <w:marLeft w:val="547"/>
          <w:marRight w:val="0"/>
          <w:marTop w:val="0"/>
          <w:marBottom w:val="180"/>
          <w:divBdr>
            <w:top w:val="none" w:sz="0" w:space="0" w:color="auto"/>
            <w:left w:val="none" w:sz="0" w:space="0" w:color="auto"/>
            <w:bottom w:val="none" w:sz="0" w:space="0" w:color="auto"/>
            <w:right w:val="none" w:sz="0" w:space="0" w:color="auto"/>
          </w:divBdr>
        </w:div>
        <w:div w:id="873738975">
          <w:marLeft w:val="547"/>
          <w:marRight w:val="0"/>
          <w:marTop w:val="0"/>
          <w:marBottom w:val="120"/>
          <w:divBdr>
            <w:top w:val="none" w:sz="0" w:space="0" w:color="auto"/>
            <w:left w:val="none" w:sz="0" w:space="0" w:color="auto"/>
            <w:bottom w:val="none" w:sz="0" w:space="0" w:color="auto"/>
            <w:right w:val="none" w:sz="0" w:space="0" w:color="auto"/>
          </w:divBdr>
        </w:div>
        <w:div w:id="1337538622">
          <w:marLeft w:val="547"/>
          <w:marRight w:val="0"/>
          <w:marTop w:val="0"/>
          <w:marBottom w:val="180"/>
          <w:divBdr>
            <w:top w:val="none" w:sz="0" w:space="0" w:color="auto"/>
            <w:left w:val="none" w:sz="0" w:space="0" w:color="auto"/>
            <w:bottom w:val="none" w:sz="0" w:space="0" w:color="auto"/>
            <w:right w:val="none" w:sz="0" w:space="0" w:color="auto"/>
          </w:divBdr>
        </w:div>
        <w:div w:id="1356076532">
          <w:marLeft w:val="547"/>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0610718">
      <w:bodyDiv w:val="1"/>
      <w:marLeft w:val="0"/>
      <w:marRight w:val="0"/>
      <w:marTop w:val="0"/>
      <w:marBottom w:val="0"/>
      <w:divBdr>
        <w:top w:val="none" w:sz="0" w:space="0" w:color="auto"/>
        <w:left w:val="none" w:sz="0" w:space="0" w:color="auto"/>
        <w:bottom w:val="none" w:sz="0" w:space="0" w:color="auto"/>
        <w:right w:val="none" w:sz="0" w:space="0" w:color="auto"/>
      </w:divBdr>
      <w:divsChild>
        <w:div w:id="428238993">
          <w:marLeft w:val="1166"/>
          <w:marRight w:val="0"/>
          <w:marTop w:val="156"/>
          <w:marBottom w:val="120"/>
          <w:divBdr>
            <w:top w:val="none" w:sz="0" w:space="0" w:color="auto"/>
            <w:left w:val="none" w:sz="0" w:space="0" w:color="auto"/>
            <w:bottom w:val="none" w:sz="0" w:space="0" w:color="auto"/>
            <w:right w:val="none" w:sz="0" w:space="0" w:color="auto"/>
          </w:divBdr>
        </w:div>
        <w:div w:id="1296792330">
          <w:marLeft w:val="1166"/>
          <w:marRight w:val="0"/>
          <w:marTop w:val="156"/>
          <w:marBottom w:val="120"/>
          <w:divBdr>
            <w:top w:val="none" w:sz="0" w:space="0" w:color="auto"/>
            <w:left w:val="none" w:sz="0" w:space="0" w:color="auto"/>
            <w:bottom w:val="none" w:sz="0" w:space="0" w:color="auto"/>
            <w:right w:val="none" w:sz="0" w:space="0" w:color="auto"/>
          </w:divBdr>
        </w:div>
      </w:divsChild>
    </w:div>
    <w:div w:id="1561136540">
      <w:bodyDiv w:val="1"/>
      <w:marLeft w:val="0"/>
      <w:marRight w:val="0"/>
      <w:marTop w:val="0"/>
      <w:marBottom w:val="0"/>
      <w:divBdr>
        <w:top w:val="none" w:sz="0" w:space="0" w:color="auto"/>
        <w:left w:val="none" w:sz="0" w:space="0" w:color="auto"/>
        <w:bottom w:val="none" w:sz="0" w:space="0" w:color="auto"/>
        <w:right w:val="none" w:sz="0" w:space="0" w:color="auto"/>
      </w:divBdr>
    </w:div>
    <w:div w:id="2131505571">
      <w:bodyDiv w:val="1"/>
      <w:marLeft w:val="0"/>
      <w:marRight w:val="0"/>
      <w:marTop w:val="0"/>
      <w:marBottom w:val="0"/>
      <w:divBdr>
        <w:top w:val="none" w:sz="0" w:space="0" w:color="auto"/>
        <w:left w:val="none" w:sz="0" w:space="0" w:color="auto"/>
        <w:bottom w:val="none" w:sz="0" w:space="0" w:color="auto"/>
        <w:right w:val="none" w:sz="0" w:space="0" w:color="auto"/>
      </w:divBdr>
      <w:divsChild>
        <w:div w:id="2117478964">
          <w:marLeft w:val="547"/>
          <w:marRight w:val="0"/>
          <w:marTop w:val="0"/>
          <w:marBottom w:val="180"/>
          <w:divBdr>
            <w:top w:val="none" w:sz="0" w:space="0" w:color="auto"/>
            <w:left w:val="none" w:sz="0" w:space="0" w:color="auto"/>
            <w:bottom w:val="none" w:sz="0" w:space="0" w:color="auto"/>
            <w:right w:val="none" w:sz="0" w:space="0" w:color="auto"/>
          </w:divBdr>
        </w:div>
        <w:div w:id="21682317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5AIRPNAIUNRU-859666464-14302</_dlc_DocId>
    <_dlc_DocIdUrl xmlns="71c5aaf6-e6ce-465b-b873-5148d2a4c105">
      <Url>https://nokia.sharepoint.com/sites/c5g/e2earch/_layouts/15/DocIdRedir.aspx?ID=5AIRPNAIUNRU-859666464-14302</Url>
      <Description>5AIRPNAIUNRU-859666464-14302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44</TotalTime>
  <Pages>2</Pages>
  <Words>864</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11</cp:revision>
  <dcterms:created xsi:type="dcterms:W3CDTF">2023-08-09T10:27:00Z</dcterms:created>
  <dcterms:modified xsi:type="dcterms:W3CDTF">2023-09-29T07:32:00Z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954e1bf6-a336-47b9-ab99-bbc6f9888edb</vt:lpwstr>
  </property>
</Properties>
</file>